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7" w:rsidRPr="00BA0ADB" w:rsidRDefault="00B05415">
      <w:pPr>
        <w:rPr>
          <w:b/>
        </w:rPr>
      </w:pPr>
      <w:r w:rsidRPr="00BA0ADB">
        <w:rPr>
          <w:b/>
        </w:rPr>
        <w:t>Krajská galerie ve Zlíně od května na nové adrese</w:t>
      </w:r>
      <w:r w:rsidR="0099781E">
        <w:rPr>
          <w:b/>
        </w:rPr>
        <w:t>!</w:t>
      </w:r>
    </w:p>
    <w:p w:rsidR="00792AFE" w:rsidRDefault="00845657">
      <w:r w:rsidRPr="00845657">
        <w:t>Nov</w:t>
      </w:r>
      <w:r w:rsidR="006D7CC3">
        <w:t>á</w:t>
      </w:r>
      <w:r w:rsidRPr="00845657">
        <w:t xml:space="preserve"> stál</w:t>
      </w:r>
      <w:r w:rsidR="006D7CC3">
        <w:t>á</w:t>
      </w:r>
      <w:r w:rsidRPr="00845657">
        <w:t xml:space="preserve"> expozice</w:t>
      </w:r>
      <w:r w:rsidR="006D7CC3">
        <w:t xml:space="preserve"> </w:t>
      </w:r>
      <w:r w:rsidRPr="00845657">
        <w:t>se otev</w:t>
      </w:r>
      <w:r w:rsidR="006D7CC3">
        <w:t>řela</w:t>
      </w:r>
      <w:r w:rsidRPr="00845657">
        <w:t xml:space="preserve"> veřejnosti.</w:t>
      </w:r>
      <w:r w:rsidR="006D7CC3">
        <w:t xml:space="preserve"> </w:t>
      </w:r>
      <w:r w:rsidR="006D7CC3">
        <w:t xml:space="preserve">To nejlepší ze sbírek </w:t>
      </w:r>
      <w:r w:rsidR="000D0F13">
        <w:t>Krajské galerie výtvarného umění ve Zlíně</w:t>
      </w:r>
      <w:r w:rsidR="000D0F13" w:rsidRPr="00845657">
        <w:t xml:space="preserve"> </w:t>
      </w:r>
      <w:r w:rsidR="006D7CC3">
        <w:t xml:space="preserve">je </w:t>
      </w:r>
      <w:r w:rsidR="00A81748">
        <w:t>od nynějška</w:t>
      </w:r>
      <w:r w:rsidR="006D7CC3">
        <w:t xml:space="preserve"> k vidění </w:t>
      </w:r>
      <w:r w:rsidR="006D7CC3" w:rsidRPr="00845657">
        <w:t>ve 14. budově</w:t>
      </w:r>
      <w:r w:rsidR="006D7CC3">
        <w:t xml:space="preserve"> </w:t>
      </w:r>
      <w:r w:rsidR="000D0F13">
        <w:t>zdejšího</w:t>
      </w:r>
      <w:r w:rsidR="006D7CC3">
        <w:t xml:space="preserve"> továrního areálu, kam se</w:t>
      </w:r>
      <w:r w:rsidR="006D7CC3">
        <w:t xml:space="preserve"> instituce přestěhovala po více než půlstoletí svého působení v Domě umění a ve zlínském zámku. </w:t>
      </w:r>
    </w:p>
    <w:p w:rsidR="006D7CC3" w:rsidRDefault="00B13FB9">
      <w:r w:rsidRPr="00845657">
        <w:t xml:space="preserve">Prvním dnem, kdy zpřístupněné expozice </w:t>
      </w:r>
      <w:r>
        <w:t>mohli</w:t>
      </w:r>
      <w:r w:rsidRPr="00845657">
        <w:t xml:space="preserve"> obdivovat běžní návštěvníci, </w:t>
      </w:r>
      <w:r>
        <w:t>byla</w:t>
      </w:r>
      <w:r w:rsidRPr="00845657">
        <w:t xml:space="preserve"> středa 1. května.</w:t>
      </w:r>
      <w:r>
        <w:t xml:space="preserve"> </w:t>
      </w:r>
      <w:r w:rsidR="00A81748">
        <w:t xml:space="preserve">Kromě </w:t>
      </w:r>
      <w:r w:rsidR="00323F78">
        <w:t xml:space="preserve">úplně </w:t>
      </w:r>
      <w:r w:rsidR="00A81748">
        <w:t xml:space="preserve">nové koncepce stálé expozice ve druhém patře budovy vznikl také nový prostor pro pořádání krátkodobých výstav, a to v první etáži. 14. května </w:t>
      </w:r>
      <w:r w:rsidR="00D95F58">
        <w:t xml:space="preserve">v podvečer </w:t>
      </w:r>
      <w:r w:rsidR="00A81748">
        <w:t xml:space="preserve">se zde otevře výstava </w:t>
      </w:r>
      <w:proofErr w:type="spellStart"/>
      <w:r w:rsidR="00A81748" w:rsidRPr="00A81748">
        <w:rPr>
          <w:i/>
        </w:rPr>
        <w:t>Ulmský</w:t>
      </w:r>
      <w:proofErr w:type="spellEnd"/>
      <w:r w:rsidR="00A81748" w:rsidRPr="00A81748">
        <w:rPr>
          <w:i/>
        </w:rPr>
        <w:t xml:space="preserve"> model | Metoda a design</w:t>
      </w:r>
      <w:r w:rsidR="00A81748">
        <w:t xml:space="preserve">. </w:t>
      </w:r>
      <w:r>
        <w:t xml:space="preserve">Novinkou je i Grafický kabinet umístěný v prostorách stálé expozice, v němž galerie vystavuje </w:t>
      </w:r>
      <w:proofErr w:type="spellStart"/>
      <w:r>
        <w:t>světlocitlivá</w:t>
      </w:r>
      <w:proofErr w:type="spellEnd"/>
      <w:r>
        <w:t xml:space="preserve"> díla, která dosud vystavována být nemohla – v současnosti </w:t>
      </w:r>
      <w:r w:rsidR="009E0FA9">
        <w:t xml:space="preserve">zde </w:t>
      </w:r>
      <w:r w:rsidR="0034236D">
        <w:t>můžete vidět nádherné</w:t>
      </w:r>
      <w:r>
        <w:t xml:space="preserve"> grafick</w:t>
      </w:r>
      <w:r w:rsidR="0034236D">
        <w:t>é</w:t>
      </w:r>
      <w:r>
        <w:t xml:space="preserve"> list</w:t>
      </w:r>
      <w:r w:rsidR="0034236D">
        <w:t>y</w:t>
      </w:r>
      <w:r>
        <w:t xml:space="preserve"> </w:t>
      </w:r>
      <w:r w:rsidR="009E0FA9">
        <w:t xml:space="preserve">předních </w:t>
      </w:r>
      <w:r>
        <w:t xml:space="preserve">představitelů českého symbolismu. </w:t>
      </w:r>
    </w:p>
    <w:p w:rsidR="00845657" w:rsidRDefault="006052E5">
      <w:r>
        <w:t>Stylová industriální atmosféra nových expozic</w:t>
      </w:r>
      <w:r w:rsidR="00722611">
        <w:t>, vybudovaných</w:t>
      </w:r>
      <w:r>
        <w:t xml:space="preserve"> v někdejší továrně na boty</w:t>
      </w:r>
      <w:r w:rsidR="00722611">
        <w:t>,</w:t>
      </w:r>
      <w:r>
        <w:t xml:space="preserve"> přivedla do galerie množství </w:t>
      </w:r>
      <w:r w:rsidR="002109FA">
        <w:t>příznivců umění a</w:t>
      </w:r>
      <w:r>
        <w:t xml:space="preserve"> </w:t>
      </w:r>
      <w:r w:rsidR="00B73282">
        <w:t xml:space="preserve">unikátní </w:t>
      </w:r>
      <w:r>
        <w:t>baťovské architektury – j</w:t>
      </w:r>
      <w:r w:rsidR="00B13FB9">
        <w:t xml:space="preserve">enom za prvních šest dní od otevření </w:t>
      </w:r>
      <w:r>
        <w:t>ji</w:t>
      </w:r>
      <w:r w:rsidR="00B13FB9">
        <w:t xml:space="preserve"> navštívilo 380 návštěvníků. </w:t>
      </w:r>
      <w:r w:rsidR="00845657" w:rsidRPr="00845657">
        <w:t xml:space="preserve">Pracovníci Krajské galerie výtvarného umění připravili pro premiéru svých nových expozic pro veřejnost </w:t>
      </w:r>
      <w:r w:rsidR="002109FA">
        <w:t>řadu moderovaných</w:t>
      </w:r>
      <w:r w:rsidR="00845657" w:rsidRPr="00845657">
        <w:t xml:space="preserve"> prohlíd</w:t>
      </w:r>
      <w:r w:rsidR="002109FA">
        <w:t>e</w:t>
      </w:r>
      <w:r w:rsidR="00845657" w:rsidRPr="00845657">
        <w:t xml:space="preserve">k </w:t>
      </w:r>
      <w:r w:rsidR="00A51FFC">
        <w:t>s výkladem kurátor</w:t>
      </w:r>
      <w:r>
        <w:t>ů</w:t>
      </w:r>
      <w:r w:rsidR="00A51FFC">
        <w:t>, vstupenky je možné si zar</w:t>
      </w:r>
      <w:r w:rsidR="00845657" w:rsidRPr="00845657">
        <w:t>ezerv</w:t>
      </w:r>
      <w:r w:rsidR="00A51FFC">
        <w:t>ovat</w:t>
      </w:r>
      <w:r w:rsidR="00845657" w:rsidRPr="00845657">
        <w:t xml:space="preserve"> </w:t>
      </w:r>
      <w:r w:rsidR="00A51FFC">
        <w:t xml:space="preserve">online přes web </w:t>
      </w:r>
      <w:hyperlink r:id="rId6" w:history="1">
        <w:r w:rsidR="00A51FFC" w:rsidRPr="005872FF">
          <w:rPr>
            <w:rStyle w:val="Hypertextovodkaz"/>
          </w:rPr>
          <w:t>http://rezervace.14-15.cz</w:t>
        </w:r>
      </w:hyperlink>
      <w:r w:rsidR="00845657" w:rsidRPr="00845657">
        <w:t>.</w:t>
      </w:r>
      <w:r>
        <w:t xml:space="preserve"> Do modernizovaného objektu je</w:t>
      </w:r>
      <w:r w:rsidR="00B73282">
        <w:t xml:space="preserve"> zajištěn bezbariérový přístup, galerie připravuje také zážitkové programy pro školy i pro rodiče s dětmi. </w:t>
      </w:r>
    </w:p>
    <w:p w:rsidR="00845657" w:rsidRDefault="00845657">
      <w:r w:rsidRPr="00845657">
        <w:t>Ředitel Krajské galerie výtvarného umění ve Zlíně Václav Mílek k významu otevření nové stálé expozice galerie říká: „</w:t>
      </w:r>
      <w:r w:rsidRPr="00767E48">
        <w:rPr>
          <w:i/>
        </w:rPr>
        <w:t>Dosud nikdy neměli návštěvníci galerie možnost vidět její sbírky v takové šíři, jak to nabízí nová stálá expozice. A to nehovořím o komfortu pro návštěvníky v podobě výtahů, odpočinkových zón, sociálních zařízení s dostatečnou kapacitou a dalších atributech. Galerie se díky novým prostorám může bez ostychu postavit po bok významným evropským muzeím umění.</w:t>
      </w:r>
      <w:r w:rsidRPr="00845657">
        <w:t>“</w:t>
      </w:r>
    </w:p>
    <w:p w:rsidR="00845657" w:rsidRPr="002B5322" w:rsidRDefault="00845657" w:rsidP="00B73282">
      <w:pPr>
        <w:rPr>
          <w:iCs/>
        </w:rPr>
      </w:pPr>
      <w:r>
        <w:t>Do roku 2012 neměla zlínská Krajská galerie výtvarného umění z finančních i prostorových důvodů možnost vytvořit reprezentativní expozici všech svých uměleckých děl.</w:t>
      </w:r>
      <w:r w:rsidR="00B73282">
        <w:t xml:space="preserve"> </w:t>
      </w:r>
      <w:r>
        <w:t xml:space="preserve">V současnosti </w:t>
      </w:r>
      <w:r w:rsidR="00B73282">
        <w:t>j</w:t>
      </w:r>
      <w:r>
        <w:t xml:space="preserve">e </w:t>
      </w:r>
      <w:r w:rsidR="00B73282">
        <w:t>tak</w:t>
      </w:r>
      <w:r>
        <w:t xml:space="preserve"> ve Zlíně </w:t>
      </w:r>
      <w:r w:rsidR="00B73282">
        <w:t xml:space="preserve">poprvé k vidění </w:t>
      </w:r>
      <w:r>
        <w:t>ucelená sb</w:t>
      </w:r>
      <w:r w:rsidR="00B73282">
        <w:t xml:space="preserve">írka českého umění 20. století, kterou se veřejnosti zpřístupnila </w:t>
      </w:r>
      <w:r w:rsidR="00B73282">
        <w:rPr>
          <w:iCs/>
        </w:rPr>
        <w:t xml:space="preserve">řada </w:t>
      </w:r>
      <w:r w:rsidRPr="002B5322">
        <w:rPr>
          <w:iCs/>
        </w:rPr>
        <w:t xml:space="preserve">cenných děl, </w:t>
      </w:r>
      <w:r w:rsidR="002109FA">
        <w:rPr>
          <w:iCs/>
        </w:rPr>
        <w:t>jež</w:t>
      </w:r>
      <w:r w:rsidR="00B73282">
        <w:rPr>
          <w:iCs/>
        </w:rPr>
        <w:t xml:space="preserve"> byla léta</w:t>
      </w:r>
      <w:r w:rsidRPr="002B5322">
        <w:rPr>
          <w:iCs/>
        </w:rPr>
        <w:t xml:space="preserve"> umístěn</w:t>
      </w:r>
      <w:r w:rsidR="00B73282">
        <w:rPr>
          <w:iCs/>
        </w:rPr>
        <w:t xml:space="preserve">a </w:t>
      </w:r>
      <w:r w:rsidR="001E7CB9">
        <w:rPr>
          <w:iCs/>
        </w:rPr>
        <w:t xml:space="preserve">pouze </w:t>
      </w:r>
      <w:r w:rsidR="00B73282">
        <w:rPr>
          <w:iCs/>
        </w:rPr>
        <w:t xml:space="preserve">v depozitáři. </w:t>
      </w:r>
    </w:p>
    <w:p w:rsidR="00845657" w:rsidRDefault="00845657"/>
    <w:p w:rsidR="00845657" w:rsidRPr="00845657" w:rsidRDefault="00845657" w:rsidP="00845657">
      <w:pPr>
        <w:spacing w:after="60"/>
        <w:jc w:val="both"/>
        <w:rPr>
          <w:rFonts w:cs="Arial"/>
          <w:b/>
          <w:iCs/>
          <w:u w:val="single"/>
        </w:rPr>
      </w:pPr>
      <w:r w:rsidRPr="00845657">
        <w:rPr>
          <w:rFonts w:cs="Arial"/>
          <w:b/>
          <w:iCs/>
          <w:u w:val="single"/>
        </w:rPr>
        <w:t>Základní rozdíly v dosavadních a nových expozicích Krajské galerie výtvarného umění ve Zlíně</w:t>
      </w:r>
    </w:p>
    <w:p w:rsidR="00845657" w:rsidRDefault="00845657" w:rsidP="00845657">
      <w:pPr>
        <w:spacing w:after="60"/>
        <w:jc w:val="both"/>
        <w:rPr>
          <w:rFonts w:cs="Arial"/>
          <w:b/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b/>
                <w:i w:val="0"/>
              </w:rPr>
            </w:pPr>
            <w:r>
              <w:rPr>
                <w:b/>
                <w:iCs/>
              </w:rPr>
              <w:t>Stálá expozice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>Původní expozice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>Nová expozice ve 14|15</w:t>
            </w:r>
          </w:p>
        </w:tc>
      </w:tr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 xml:space="preserve">Podlahová plocha celkem 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200</w:t>
            </w:r>
            <w:r w:rsidRPr="00ED3959">
              <w:rPr>
                <w:rStyle w:val="Zdraznnjemn"/>
                <w:i w:val="0"/>
              </w:rPr>
              <w:t xml:space="preserve"> m2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1350</w:t>
            </w:r>
            <w:r w:rsidRPr="00ED3959">
              <w:rPr>
                <w:rStyle w:val="Zdraznnjemn"/>
                <w:i w:val="0"/>
              </w:rPr>
              <w:t xml:space="preserve"> m2</w:t>
            </w:r>
          </w:p>
        </w:tc>
      </w:tr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Instalační plocha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90 m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193 m</w:t>
            </w:r>
          </w:p>
        </w:tc>
      </w:tr>
      <w:tr w:rsidR="00845657" w:rsidRPr="00E10118" w:rsidTr="009A3D2F">
        <w:tc>
          <w:tcPr>
            <w:tcW w:w="3070" w:type="dxa"/>
            <w:shd w:val="clear" w:color="auto" w:fill="auto"/>
          </w:tcPr>
          <w:p w:rsidR="00845657" w:rsidRPr="00E10118" w:rsidRDefault="00845657" w:rsidP="009A3D2F">
            <w:pPr>
              <w:spacing w:after="60"/>
              <w:rPr>
                <w:rStyle w:val="Zdraznnjemn"/>
                <w:i w:val="0"/>
                <w:color w:val="auto"/>
              </w:rPr>
            </w:pPr>
            <w:r w:rsidRPr="00E10118">
              <w:rPr>
                <w:rStyle w:val="Zdraznnjemn"/>
                <w:i w:val="0"/>
                <w:color w:val="auto"/>
              </w:rPr>
              <w:t>Počet exponátů</w:t>
            </w:r>
          </w:p>
        </w:tc>
        <w:tc>
          <w:tcPr>
            <w:tcW w:w="3071" w:type="dxa"/>
            <w:shd w:val="clear" w:color="auto" w:fill="auto"/>
          </w:tcPr>
          <w:p w:rsidR="00845657" w:rsidRPr="00E10118" w:rsidRDefault="00845657" w:rsidP="009A3D2F">
            <w:pPr>
              <w:spacing w:after="60"/>
              <w:jc w:val="center"/>
              <w:rPr>
                <w:rStyle w:val="Zdraznnjemn"/>
                <w:i w:val="0"/>
                <w:color w:val="auto"/>
              </w:rPr>
            </w:pPr>
            <w:r w:rsidRPr="00E10118">
              <w:rPr>
                <w:rStyle w:val="Zdraznnjemn"/>
                <w:i w:val="0"/>
                <w:color w:val="auto"/>
              </w:rPr>
              <w:t>57</w:t>
            </w:r>
          </w:p>
        </w:tc>
        <w:tc>
          <w:tcPr>
            <w:tcW w:w="3071" w:type="dxa"/>
            <w:shd w:val="clear" w:color="auto" w:fill="auto"/>
          </w:tcPr>
          <w:p w:rsidR="00845657" w:rsidRPr="00E10118" w:rsidRDefault="00845657" w:rsidP="009A3D2F">
            <w:pPr>
              <w:spacing w:after="60"/>
              <w:jc w:val="center"/>
              <w:rPr>
                <w:rStyle w:val="Zdraznnjemn"/>
                <w:i w:val="0"/>
                <w:color w:val="auto"/>
              </w:rPr>
            </w:pPr>
            <w:r w:rsidRPr="00E10118">
              <w:rPr>
                <w:rStyle w:val="Zdraznnjemn"/>
                <w:i w:val="0"/>
                <w:color w:val="auto"/>
              </w:rPr>
              <w:t>210</w:t>
            </w:r>
          </w:p>
        </w:tc>
      </w:tr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>AV prvky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5</w:t>
            </w:r>
            <w:r w:rsidRPr="00ED3959">
              <w:rPr>
                <w:rStyle w:val="Zdraznnjemn"/>
                <w:i w:val="0"/>
              </w:rPr>
              <w:t>x LCD</w:t>
            </w:r>
            <w:r>
              <w:rPr>
                <w:rStyle w:val="Zdraznnjemn"/>
                <w:i w:val="0"/>
              </w:rPr>
              <w:t>, projekce</w:t>
            </w:r>
          </w:p>
        </w:tc>
      </w:tr>
    </w:tbl>
    <w:p w:rsidR="00845657" w:rsidRDefault="00845657" w:rsidP="00845657">
      <w:pPr>
        <w:spacing w:after="60"/>
        <w:jc w:val="both"/>
        <w:rPr>
          <w:rFonts w:cs="Arial"/>
          <w:b/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b/>
                <w:i w:val="0"/>
              </w:rPr>
            </w:pPr>
            <w:r>
              <w:rPr>
                <w:b/>
                <w:iCs/>
              </w:rPr>
              <w:t>Krátkodobé výstavy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>Původní expozice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>Nová expozice ve 14|15</w:t>
            </w:r>
          </w:p>
        </w:tc>
      </w:tr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i w:val="0"/>
              </w:rPr>
            </w:pPr>
            <w:r w:rsidRPr="00ED3959">
              <w:rPr>
                <w:rStyle w:val="Zdraznnjemn"/>
                <w:i w:val="0"/>
              </w:rPr>
              <w:t xml:space="preserve">Podlahová plocha celkem 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560</w:t>
            </w:r>
            <w:r w:rsidRPr="00ED3959">
              <w:rPr>
                <w:rStyle w:val="Zdraznnjemn"/>
                <w:i w:val="0"/>
              </w:rPr>
              <w:t xml:space="preserve"> m2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720</w:t>
            </w:r>
            <w:r w:rsidRPr="00ED3959">
              <w:rPr>
                <w:rStyle w:val="Zdraznnjemn"/>
                <w:i w:val="0"/>
              </w:rPr>
              <w:t xml:space="preserve"> m2</w:t>
            </w:r>
          </w:p>
        </w:tc>
      </w:tr>
      <w:tr w:rsidR="00845657" w:rsidRPr="00ED3959" w:rsidTr="009A3D2F">
        <w:tc>
          <w:tcPr>
            <w:tcW w:w="3070" w:type="dxa"/>
            <w:shd w:val="clear" w:color="auto" w:fill="auto"/>
          </w:tcPr>
          <w:p w:rsidR="00845657" w:rsidRPr="00ED3959" w:rsidRDefault="00845657" w:rsidP="009A3D2F">
            <w:pPr>
              <w:spacing w:after="60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Instalační plocha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171 m</w:t>
            </w:r>
          </w:p>
        </w:tc>
        <w:tc>
          <w:tcPr>
            <w:tcW w:w="3071" w:type="dxa"/>
            <w:shd w:val="clear" w:color="auto" w:fill="auto"/>
          </w:tcPr>
          <w:p w:rsidR="00845657" w:rsidRPr="00ED3959" w:rsidRDefault="00845657" w:rsidP="009A3D2F">
            <w:pPr>
              <w:spacing w:after="60"/>
              <w:jc w:val="center"/>
              <w:rPr>
                <w:rStyle w:val="Zdraznnjemn"/>
                <w:i w:val="0"/>
              </w:rPr>
            </w:pPr>
            <w:r>
              <w:rPr>
                <w:rStyle w:val="Zdraznnjemn"/>
                <w:i w:val="0"/>
              </w:rPr>
              <w:t>264 m</w:t>
            </w:r>
          </w:p>
        </w:tc>
      </w:tr>
    </w:tbl>
    <w:p w:rsidR="00BA0ADB" w:rsidRDefault="00BA0ADB" w:rsidP="00845657">
      <w:pPr>
        <w:spacing w:after="60"/>
        <w:jc w:val="both"/>
        <w:rPr>
          <w:rFonts w:cs="Arial"/>
          <w:b/>
          <w:iCs/>
        </w:rPr>
      </w:pPr>
    </w:p>
    <w:p w:rsidR="00062938" w:rsidRDefault="00062938" w:rsidP="00845657">
      <w:pPr>
        <w:spacing w:after="60"/>
        <w:jc w:val="both"/>
        <w:rPr>
          <w:rFonts w:cs="Arial"/>
          <w:b/>
          <w:iCs/>
        </w:rPr>
      </w:pPr>
      <w:r w:rsidRPr="00062938">
        <w:rPr>
          <w:rFonts w:cs="Arial"/>
          <w:b/>
          <w:iCs/>
        </w:rPr>
        <w:t>Aktuálně probíhající výstavy</w:t>
      </w:r>
    </w:p>
    <w:p w:rsidR="00792AFE" w:rsidRPr="00062938" w:rsidRDefault="00792AFE" w:rsidP="00845657">
      <w:pPr>
        <w:spacing w:after="60"/>
        <w:jc w:val="both"/>
        <w:rPr>
          <w:rFonts w:cs="Arial"/>
          <w:b/>
          <w:iCs/>
        </w:rPr>
      </w:pPr>
    </w:p>
    <w:p w:rsidR="00792AFE" w:rsidRDefault="00792AFE" w:rsidP="00792AFE">
      <w:pPr>
        <w:rPr>
          <w:b/>
          <w:bCs/>
        </w:rPr>
      </w:pPr>
      <w:r>
        <w:rPr>
          <w:b/>
          <w:bCs/>
        </w:rPr>
        <w:t xml:space="preserve">Stálá expozice:  </w:t>
      </w:r>
      <w:r w:rsidRPr="00150259">
        <w:rPr>
          <w:b/>
          <w:bCs/>
        </w:rPr>
        <w:t xml:space="preserve">Prostor Zlín </w:t>
      </w:r>
      <w:r>
        <w:rPr>
          <w:b/>
          <w:bCs/>
        </w:rPr>
        <w:t>|</w:t>
      </w:r>
      <w:r w:rsidRPr="00150259">
        <w:rPr>
          <w:b/>
          <w:bCs/>
        </w:rPr>
        <w:t xml:space="preserve"> Řády vidění </w:t>
      </w:r>
    </w:p>
    <w:p w:rsidR="00792AFE" w:rsidRDefault="00792AFE" w:rsidP="00792AFE">
      <w:r>
        <w:rPr>
          <w:bCs/>
        </w:rPr>
        <w:t xml:space="preserve">od </w:t>
      </w:r>
      <w:r>
        <w:t xml:space="preserve">1. května 2013, </w:t>
      </w:r>
      <w:r w:rsidRPr="00150259">
        <w:t>14</w:t>
      </w:r>
      <w:r>
        <w:t>. b</w:t>
      </w:r>
      <w:r w:rsidRPr="00150259">
        <w:t>udova</w:t>
      </w:r>
      <w:r w:rsidR="00352494">
        <w:t xml:space="preserve"> zlínského</w:t>
      </w:r>
      <w:r w:rsidRPr="00150259">
        <w:t xml:space="preserve"> továrního areálu</w:t>
      </w:r>
    </w:p>
    <w:p w:rsidR="00792AFE" w:rsidRDefault="00792AFE" w:rsidP="00792AFE">
      <w:r>
        <w:t>komentované prohlídky: v květnu vždy ve čtvrtek od 17 hodin a v neděli od 15 hodin</w:t>
      </w:r>
    </w:p>
    <w:p w:rsidR="006332A2" w:rsidRDefault="00792AFE" w:rsidP="00792AFE">
      <w:r>
        <w:t xml:space="preserve">Unikátní zdejší </w:t>
      </w:r>
      <w:r w:rsidRPr="00190997">
        <w:t>architektura</w:t>
      </w:r>
      <w:r>
        <w:t>, zlaté období největšího rozmachu Zlína v baťovském období, ale i</w:t>
      </w:r>
      <w:r w:rsidRPr="00190997">
        <w:t xml:space="preserve"> </w:t>
      </w:r>
      <w:r>
        <w:t xml:space="preserve">to nejzajímavější z </w:t>
      </w:r>
      <w:r w:rsidRPr="00190997">
        <w:t>průmyslov</w:t>
      </w:r>
      <w:r>
        <w:t>ého</w:t>
      </w:r>
      <w:r w:rsidRPr="00190997">
        <w:t xml:space="preserve"> design</w:t>
      </w:r>
      <w:r>
        <w:t>u</w:t>
      </w:r>
      <w:r w:rsidRPr="00190997">
        <w:t>. Právě ty jsou</w:t>
      </w:r>
      <w:r>
        <w:t>,</w:t>
      </w:r>
      <w:r w:rsidRPr="00190997">
        <w:t xml:space="preserve"> spolu</w:t>
      </w:r>
      <w:r>
        <w:t xml:space="preserve"> s</w:t>
      </w:r>
      <w:r w:rsidRPr="00190997">
        <w:t xml:space="preserve"> </w:t>
      </w:r>
      <w:r>
        <w:t xml:space="preserve">klasickým a </w:t>
      </w:r>
      <w:r w:rsidRPr="00190997">
        <w:t>moderním uměním</w:t>
      </w:r>
      <w:r>
        <w:t>,</w:t>
      </w:r>
      <w:r w:rsidRPr="00190997">
        <w:t xml:space="preserve"> </w:t>
      </w:r>
      <w:r>
        <w:t>magnetem</w:t>
      </w:r>
      <w:r w:rsidRPr="00190997">
        <w:t xml:space="preserve"> </w:t>
      </w:r>
      <w:r>
        <w:t xml:space="preserve">nové </w:t>
      </w:r>
      <w:r w:rsidRPr="00190997">
        <w:t>stálé expozice Krajské</w:t>
      </w:r>
      <w:r>
        <w:t xml:space="preserve"> galerie</w:t>
      </w:r>
      <w:r w:rsidRPr="00190997">
        <w:t xml:space="preserve">. Navštivte pozoruhodné výstavy ve 14. budově bývalého průmyslového areálu, v nově zrekonstruovaném 14|15 BAŤOVĚ INSTITUTU. </w:t>
      </w:r>
    </w:p>
    <w:p w:rsidR="00792AFE" w:rsidRDefault="00792AFE" w:rsidP="00792AFE">
      <w:r w:rsidRPr="00190997">
        <w:t xml:space="preserve">Najdete zde </w:t>
      </w:r>
      <w:r w:rsidR="00F45074" w:rsidRPr="00F45074">
        <w:t xml:space="preserve">nádherné práce českých umělců první poloviny 20. století – mimo jiné </w:t>
      </w:r>
      <w:r>
        <w:t>Alfonse Muchy,</w:t>
      </w:r>
      <w:r w:rsidRPr="00190997">
        <w:t xml:space="preserve"> Emila Filly, Bohumila Kubišty, Václava </w:t>
      </w:r>
      <w:proofErr w:type="spellStart"/>
      <w:r w:rsidRPr="00190997">
        <w:t>Špály</w:t>
      </w:r>
      <w:proofErr w:type="spellEnd"/>
      <w:r w:rsidRPr="00190997">
        <w:t xml:space="preserve">, Josefa Čapka, Jana Zrzavého, Jindřicha Štyrského, </w:t>
      </w:r>
      <w:proofErr w:type="spellStart"/>
      <w:r w:rsidRPr="00190997">
        <w:t>Toyen</w:t>
      </w:r>
      <w:proofErr w:type="spellEnd"/>
      <w:r w:rsidRPr="00190997">
        <w:t xml:space="preserve"> či Otty Gutfreunda.</w:t>
      </w:r>
      <w:r>
        <w:t xml:space="preserve"> Moderní tvorba má své zastoupení v dílech Václava Boštíka, Karla Nepraše, Vladimíra </w:t>
      </w:r>
      <w:proofErr w:type="spellStart"/>
      <w:r>
        <w:t>Kokolii</w:t>
      </w:r>
      <w:proofErr w:type="spellEnd"/>
      <w:r>
        <w:t>, Petra Nikla či designérů Zdeňka Kováře a Františka Crháka.</w:t>
      </w:r>
      <w:r w:rsidR="00352494">
        <w:t xml:space="preserve"> </w:t>
      </w:r>
      <w:bookmarkStart w:id="0" w:name="_GoBack"/>
      <w:bookmarkEnd w:id="0"/>
    </w:p>
    <w:p w:rsidR="00352494" w:rsidRDefault="00352494" w:rsidP="00792AFE">
      <w:r>
        <w:t xml:space="preserve">Více na </w:t>
      </w:r>
      <w:hyperlink r:id="rId7" w:history="1">
        <w:r w:rsidRPr="005872FF">
          <w:rPr>
            <w:rStyle w:val="Hypertextovodkaz"/>
          </w:rPr>
          <w:t>http://www.galeriezlin.cz/cz/program/prostor-zlin-rady-videni.html</w:t>
        </w:r>
      </w:hyperlink>
      <w:r>
        <w:t xml:space="preserve">.  </w:t>
      </w:r>
    </w:p>
    <w:p w:rsidR="00062938" w:rsidRDefault="00062938" w:rsidP="00062938">
      <w:pPr>
        <w:rPr>
          <w:b/>
          <w:bCs/>
        </w:rPr>
      </w:pPr>
    </w:p>
    <w:p w:rsidR="00062938" w:rsidRPr="00A6122E" w:rsidRDefault="00062938" w:rsidP="00062938">
      <w:pPr>
        <w:rPr>
          <w:b/>
          <w:bCs/>
        </w:rPr>
      </w:pPr>
      <w:r w:rsidRPr="00A6122E">
        <w:rPr>
          <w:b/>
          <w:bCs/>
        </w:rPr>
        <w:t>PROSTOR ZLÍN 2013</w:t>
      </w:r>
    </w:p>
    <w:p w:rsidR="00062938" w:rsidRPr="00E87DD1" w:rsidRDefault="00062938" w:rsidP="00062938">
      <w:pPr>
        <w:rPr>
          <w:bCs/>
        </w:rPr>
      </w:pPr>
      <w:r w:rsidRPr="00E87DD1">
        <w:rPr>
          <w:bCs/>
        </w:rPr>
        <w:t xml:space="preserve">30. </w:t>
      </w:r>
      <w:r>
        <w:rPr>
          <w:bCs/>
        </w:rPr>
        <w:t>dubna</w:t>
      </w:r>
      <w:r w:rsidRPr="00E87DD1">
        <w:rPr>
          <w:bCs/>
        </w:rPr>
        <w:t xml:space="preserve"> - 25. </w:t>
      </w:r>
      <w:r>
        <w:rPr>
          <w:bCs/>
        </w:rPr>
        <w:t>srpna</w:t>
      </w:r>
      <w:r w:rsidRPr="00E87DD1">
        <w:rPr>
          <w:bCs/>
        </w:rPr>
        <w:t xml:space="preserve"> 2013</w:t>
      </w:r>
      <w:r>
        <w:rPr>
          <w:bCs/>
        </w:rPr>
        <w:t xml:space="preserve">, </w:t>
      </w:r>
      <w:r w:rsidRPr="00E87DD1">
        <w:rPr>
          <w:bCs/>
        </w:rPr>
        <w:t>areál 14|15 Baťova institutu a blízké okolí</w:t>
      </w:r>
    </w:p>
    <w:p w:rsidR="00062938" w:rsidRDefault="00062938" w:rsidP="00062938">
      <w:pPr>
        <w:rPr>
          <w:bCs/>
        </w:rPr>
      </w:pPr>
      <w:r w:rsidRPr="00E87DD1">
        <w:rPr>
          <w:bCs/>
        </w:rPr>
        <w:t>Prostor Zlín 2013 je již šestým ročníkem přehlídky umění ve veřejném prostoru. Výjimečná architektura i celková historie místa, kde ještě v podstatě nedávno jel provoz továren na plný výkon a které se z města duchů pomalu mění na kulturní a administrativní centrum města, se sta</w:t>
      </w:r>
      <w:r w:rsidR="00352494">
        <w:rPr>
          <w:bCs/>
        </w:rPr>
        <w:t>ly</w:t>
      </w:r>
      <w:r w:rsidRPr="00E87DD1">
        <w:rPr>
          <w:bCs/>
        </w:rPr>
        <w:t xml:space="preserve"> zajímavým materiálem pro umělce z generace, která měla možnost poslední nejdramatičtější změny zažít na vlastní kůži.</w:t>
      </w:r>
      <w:r>
        <w:rPr>
          <w:bCs/>
        </w:rPr>
        <w:t xml:space="preserve"> Do své tvorby </w:t>
      </w:r>
      <w:r w:rsidR="008C0454">
        <w:rPr>
          <w:bCs/>
        </w:rPr>
        <w:t xml:space="preserve">přímo v prostředí zlínských exteriérů </w:t>
      </w:r>
      <w:r>
        <w:rPr>
          <w:bCs/>
        </w:rPr>
        <w:t>dají nahlédnout</w:t>
      </w:r>
      <w:r w:rsidRPr="00E87DD1">
        <w:rPr>
          <w:bCs/>
        </w:rPr>
        <w:t xml:space="preserve"> umělci z České republiky</w:t>
      </w:r>
      <w:r>
        <w:rPr>
          <w:bCs/>
        </w:rPr>
        <w:t>, Slovenska, Maďarska a Polska.</w:t>
      </w:r>
    </w:p>
    <w:p w:rsidR="00365086" w:rsidRDefault="008C0454" w:rsidP="00062938">
      <w:pPr>
        <w:rPr>
          <w:bCs/>
        </w:rPr>
      </w:pPr>
      <w:r>
        <w:rPr>
          <w:bCs/>
        </w:rPr>
        <w:t xml:space="preserve">Více na </w:t>
      </w:r>
      <w:hyperlink r:id="rId8" w:history="1">
        <w:r w:rsidRPr="005872FF">
          <w:rPr>
            <w:rStyle w:val="Hypertextovodkaz"/>
            <w:bCs/>
          </w:rPr>
          <w:t>http://www.galeriezlin.cz/cz/program/prostor-zlin-2013.html</w:t>
        </w:r>
      </w:hyperlink>
      <w:r>
        <w:rPr>
          <w:bCs/>
        </w:rPr>
        <w:t xml:space="preserve">.  </w:t>
      </w:r>
    </w:p>
    <w:p w:rsidR="008C0454" w:rsidRDefault="008C0454" w:rsidP="00062938">
      <w:pPr>
        <w:rPr>
          <w:bCs/>
        </w:rPr>
      </w:pPr>
    </w:p>
    <w:p w:rsidR="001B4C53" w:rsidRPr="001B4C53" w:rsidRDefault="001B4C53" w:rsidP="001B4C53">
      <w:pPr>
        <w:rPr>
          <w:b/>
        </w:rPr>
      </w:pPr>
      <w:r w:rsidRPr="001B4C53">
        <w:rPr>
          <w:b/>
        </w:rPr>
        <w:t>Grafici českého symbolismu</w:t>
      </w:r>
    </w:p>
    <w:p w:rsidR="001B4C53" w:rsidRDefault="001B4C53" w:rsidP="001B4C53">
      <w:r>
        <w:t>(z cyklu Kresba a grafika ze sbírkových fondů KGVUZ)</w:t>
      </w:r>
    </w:p>
    <w:p w:rsidR="001B4C53" w:rsidRDefault="00E84030" w:rsidP="001B4C53">
      <w:r>
        <w:rPr>
          <w:bCs/>
        </w:rPr>
        <w:t xml:space="preserve">od </w:t>
      </w:r>
      <w:r>
        <w:t xml:space="preserve">1. května 2013, </w:t>
      </w:r>
      <w:r w:rsidRPr="00150259">
        <w:t>14</w:t>
      </w:r>
      <w:r>
        <w:t>. b</w:t>
      </w:r>
      <w:r w:rsidRPr="00150259">
        <w:t>udova továrního areálu</w:t>
      </w:r>
      <w:r>
        <w:t xml:space="preserve"> / </w:t>
      </w:r>
      <w:r w:rsidR="001B4C53">
        <w:t>Grafický kabinet (2. patro)</w:t>
      </w:r>
    </w:p>
    <w:p w:rsidR="00E84030" w:rsidRDefault="00E84030" w:rsidP="00E84030">
      <w:r>
        <w:t>Krajská galerie výtvarného umění ve Zlíně disponuje bohatým sbírkovým fondem, jehož důležitou součástí jsou i práce na papíře. Ve sbírce grafiky a kresby se nachází cenné skupiny děl autorsky, časově či tematicky provázané, jež budou pravidelně prezentovány v grafickém kabinetu galerie, situovaném v patře její stálé expozice.</w:t>
      </w:r>
      <w:r>
        <w:t xml:space="preserve"> </w:t>
      </w:r>
      <w:r>
        <w:t xml:space="preserve">Zahajovací výstava výběrově představí grafické listy Františka Koblihy (1877-1962), Jana </w:t>
      </w:r>
      <w:proofErr w:type="spellStart"/>
      <w:r>
        <w:t>Konůpka</w:t>
      </w:r>
      <w:proofErr w:type="spellEnd"/>
      <w:r>
        <w:t xml:space="preserve"> (1883-1950) a Josefa Váchala (1885-1969). Jedná se o rozhodující </w:t>
      </w:r>
      <w:r>
        <w:lastRenderedPageBreak/>
        <w:t>osobnosti druhé generace českých symbolistů, která na výtvarnou scénu nastupuje koncem prvního desetiletí 20. století.</w:t>
      </w:r>
    </w:p>
    <w:p w:rsidR="008C0454" w:rsidRDefault="008C0454" w:rsidP="00E84030">
      <w:r>
        <w:t xml:space="preserve">Bližší informace: </w:t>
      </w:r>
      <w:hyperlink r:id="rId9" w:history="1">
        <w:r w:rsidRPr="005872FF">
          <w:rPr>
            <w:rStyle w:val="Hypertextovodkaz"/>
          </w:rPr>
          <w:t>http://www.galeriezlin.cz/cz/program/grafici-ceskeho-symbolismu.html</w:t>
        </w:r>
      </w:hyperlink>
      <w:r>
        <w:t xml:space="preserve"> </w:t>
      </w:r>
    </w:p>
    <w:p w:rsidR="00E84030" w:rsidRDefault="00E84030" w:rsidP="00E84030"/>
    <w:p w:rsidR="00062938" w:rsidRPr="007014F4" w:rsidRDefault="00062938" w:rsidP="00062938">
      <w:pPr>
        <w:rPr>
          <w:b/>
        </w:rPr>
      </w:pPr>
      <w:proofErr w:type="spellStart"/>
      <w:r w:rsidRPr="007014F4">
        <w:rPr>
          <w:b/>
        </w:rPr>
        <w:t>Ulmský</w:t>
      </w:r>
      <w:proofErr w:type="spellEnd"/>
      <w:r w:rsidRPr="007014F4">
        <w:rPr>
          <w:b/>
        </w:rPr>
        <w:t xml:space="preserve"> model | Metoda a design</w:t>
      </w:r>
    </w:p>
    <w:p w:rsidR="00062938" w:rsidRDefault="00062938" w:rsidP="00062938">
      <w:r>
        <w:t xml:space="preserve">od 14. května do 21. července 2013, </w:t>
      </w:r>
      <w:r w:rsidRPr="00150259">
        <w:t>14</w:t>
      </w:r>
      <w:r>
        <w:t>. b</w:t>
      </w:r>
      <w:r w:rsidRPr="00150259">
        <w:t>udova továrního areálu</w:t>
      </w:r>
    </w:p>
    <w:p w:rsidR="00E10118" w:rsidRDefault="00062938" w:rsidP="00062938">
      <w:r>
        <w:t xml:space="preserve">vernisáž: v úterý 14. května v 17 hodin </w:t>
      </w:r>
    </w:p>
    <w:p w:rsidR="00062938" w:rsidRDefault="00062938" w:rsidP="00062938">
      <w:r>
        <w:t>komentovaná prohlídka</w:t>
      </w:r>
      <w:r w:rsidR="00E10118" w:rsidRPr="00E10118">
        <w:t xml:space="preserve"> </w:t>
      </w:r>
      <w:r w:rsidR="00E10118">
        <w:t>se spoluautorem výstavy</w:t>
      </w:r>
      <w:r w:rsidR="00E10118">
        <w:t xml:space="preserve">, </w:t>
      </w:r>
      <w:r w:rsidR="00E10118">
        <w:t>ředitel</w:t>
      </w:r>
      <w:r w:rsidR="00E10118">
        <w:t>em</w:t>
      </w:r>
      <w:r w:rsidR="00E10118">
        <w:t xml:space="preserve"> Archivu </w:t>
      </w:r>
      <w:proofErr w:type="spellStart"/>
      <w:r w:rsidR="00E10118">
        <w:t>HfG</w:t>
      </w:r>
      <w:proofErr w:type="spellEnd"/>
      <w:r w:rsidR="00E10118">
        <w:t xml:space="preserve"> Ulm Martinem </w:t>
      </w:r>
      <w:proofErr w:type="spellStart"/>
      <w:r w:rsidR="00E10118">
        <w:t>Mäntelem</w:t>
      </w:r>
      <w:proofErr w:type="spellEnd"/>
      <w:r>
        <w:t>: středa 15. května v 17 hodin</w:t>
      </w:r>
    </w:p>
    <w:p w:rsidR="00062938" w:rsidRDefault="00062938" w:rsidP="00062938">
      <w:r>
        <w:t xml:space="preserve">Vysoká škola designu, fungující v německém Ulmu v letech 1953–1968, byla jednou z nejvýznamnějších designérských škol na světě. Její interdisciplinárně postavený učební program, částečně navazující na dědictví </w:t>
      </w:r>
      <w:proofErr w:type="spellStart"/>
      <w:r>
        <w:t>Bauhausu</w:t>
      </w:r>
      <w:proofErr w:type="spellEnd"/>
      <w:r>
        <w:t>, přitahoval studenty z mnoha zemí. Speciální metodika výuky proslulá jako „</w:t>
      </w:r>
      <w:proofErr w:type="spellStart"/>
      <w:r>
        <w:t>ulmský</w:t>
      </w:r>
      <w:proofErr w:type="spellEnd"/>
      <w:r>
        <w:t xml:space="preserve"> model“ ovlivnila vzdělávání designérů po celém světě. Výstava je připravena ve spolupráci s Institut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Auslandsbeziehungen</w:t>
      </w:r>
      <w:proofErr w:type="spellEnd"/>
      <w:r>
        <w:t>, Stuttgart.</w:t>
      </w:r>
    </w:p>
    <w:p w:rsidR="00062938" w:rsidRPr="008C0454" w:rsidRDefault="008C0454" w:rsidP="00845657">
      <w:pPr>
        <w:spacing w:after="60"/>
        <w:jc w:val="both"/>
        <w:rPr>
          <w:rFonts w:cs="Arial"/>
          <w:iCs/>
        </w:rPr>
      </w:pPr>
      <w:proofErr w:type="spellStart"/>
      <w:r w:rsidRPr="008C0454">
        <w:rPr>
          <w:rFonts w:cs="Arial"/>
          <w:iCs/>
        </w:rPr>
        <w:t>Info</w:t>
      </w:r>
      <w:proofErr w:type="spellEnd"/>
      <w:r w:rsidRPr="008C0454">
        <w:rPr>
          <w:rFonts w:cs="Arial"/>
          <w:iCs/>
        </w:rPr>
        <w:t xml:space="preserve">: </w:t>
      </w:r>
      <w:hyperlink r:id="rId10" w:history="1">
        <w:r w:rsidRPr="005872FF">
          <w:rPr>
            <w:rStyle w:val="Hypertextovodkaz"/>
            <w:rFonts w:cs="Arial"/>
            <w:iCs/>
          </w:rPr>
          <w:t>http://www.galeriezlin.cz/cz/program/ulmsky-model-metoda-a-design.html</w:t>
        </w:r>
      </w:hyperlink>
      <w:r>
        <w:rPr>
          <w:rFonts w:cs="Arial"/>
          <w:iCs/>
        </w:rPr>
        <w:t xml:space="preserve"> </w:t>
      </w:r>
    </w:p>
    <w:p w:rsidR="00062938" w:rsidRDefault="00062938" w:rsidP="00845657">
      <w:pPr>
        <w:spacing w:after="60"/>
        <w:jc w:val="both"/>
        <w:rPr>
          <w:rFonts w:cs="Arial"/>
          <w:b/>
          <w:iCs/>
          <w:color w:val="FF0000"/>
        </w:rPr>
      </w:pPr>
    </w:p>
    <w:p w:rsidR="0006159E" w:rsidRDefault="0006159E" w:rsidP="00845657">
      <w:pPr>
        <w:spacing w:after="60"/>
        <w:jc w:val="both"/>
        <w:rPr>
          <w:rFonts w:cs="Arial"/>
          <w:b/>
          <w:iCs/>
        </w:rPr>
      </w:pPr>
    </w:p>
    <w:p w:rsidR="008C0454" w:rsidRPr="0006159E" w:rsidRDefault="0006159E" w:rsidP="00845657">
      <w:pPr>
        <w:spacing w:after="60"/>
        <w:jc w:val="both"/>
        <w:rPr>
          <w:rFonts w:cs="Arial"/>
          <w:iCs/>
        </w:rPr>
      </w:pPr>
      <w:r w:rsidRPr="0006159E">
        <w:rPr>
          <w:rFonts w:cs="Arial"/>
          <w:iCs/>
        </w:rPr>
        <w:t>KONTAKT</w:t>
      </w:r>
    </w:p>
    <w:p w:rsidR="00062938" w:rsidRPr="00494E20" w:rsidRDefault="00062938" w:rsidP="00062938">
      <w:pPr>
        <w:rPr>
          <w:b/>
        </w:rPr>
      </w:pPr>
      <w:r w:rsidRPr="00494E20">
        <w:rPr>
          <w:b/>
        </w:rPr>
        <w:t>Krajská galerie výtvarného umění ve Zlíně</w:t>
      </w:r>
    </w:p>
    <w:p w:rsidR="00062938" w:rsidRDefault="00062938" w:rsidP="00062938">
      <w:r>
        <w:t xml:space="preserve">14|15 Baťův institut, 14. budova továrního areálu </w:t>
      </w:r>
    </w:p>
    <w:p w:rsidR="00062938" w:rsidRDefault="00062938" w:rsidP="00062938">
      <w:r>
        <w:t xml:space="preserve">Vavrečkova 7040 </w:t>
      </w:r>
    </w:p>
    <w:p w:rsidR="00062938" w:rsidRDefault="00062938" w:rsidP="00062938">
      <w:r>
        <w:t>760 01 Zlín</w:t>
      </w:r>
    </w:p>
    <w:p w:rsidR="00062938" w:rsidRDefault="00062938" w:rsidP="00062938">
      <w:r>
        <w:t xml:space="preserve">E-mail: </w:t>
      </w:r>
      <w:hyperlink r:id="rId11" w:history="1">
        <w:r w:rsidRPr="00EC300F">
          <w:rPr>
            <w:rStyle w:val="Hypertextovodkaz"/>
          </w:rPr>
          <w:t>info@galeriezlin.cz</w:t>
        </w:r>
      </w:hyperlink>
      <w:r>
        <w:t xml:space="preserve"> </w:t>
      </w:r>
    </w:p>
    <w:p w:rsidR="00062938" w:rsidRDefault="00062938" w:rsidP="00062938">
      <w:r>
        <w:t xml:space="preserve">Web: </w:t>
      </w:r>
      <w:hyperlink r:id="rId12" w:history="1">
        <w:r w:rsidRPr="00EC300F">
          <w:rPr>
            <w:rStyle w:val="Hypertextovodkaz"/>
          </w:rPr>
          <w:t>www.galeriezlin.cz</w:t>
        </w:r>
      </w:hyperlink>
      <w:r>
        <w:t xml:space="preserve"> </w:t>
      </w:r>
    </w:p>
    <w:p w:rsidR="0006159E" w:rsidRDefault="0006159E" w:rsidP="00062938">
      <w:pPr>
        <w:rPr>
          <w:b/>
        </w:rPr>
      </w:pPr>
    </w:p>
    <w:p w:rsidR="00062938" w:rsidRPr="0006159E" w:rsidRDefault="00062938" w:rsidP="00062938">
      <w:pPr>
        <w:rPr>
          <w:i/>
        </w:rPr>
      </w:pPr>
      <w:r w:rsidRPr="0006159E">
        <w:rPr>
          <w:i/>
        </w:rPr>
        <w:t>Výstavy jsou otevřeny denně mimo pondělí od 10 do 18 hodin, ve čtvrtek do 20 hodin.</w:t>
      </w:r>
    </w:p>
    <w:p w:rsidR="00845657" w:rsidRDefault="00845657"/>
    <w:sectPr w:rsidR="0084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7969"/>
    <w:multiLevelType w:val="hybridMultilevel"/>
    <w:tmpl w:val="C686BCD0"/>
    <w:lvl w:ilvl="0" w:tplc="ADA06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57"/>
    <w:rsid w:val="0006159E"/>
    <w:rsid w:val="00062938"/>
    <w:rsid w:val="000D0F13"/>
    <w:rsid w:val="001B4C53"/>
    <w:rsid w:val="001E39E3"/>
    <w:rsid w:val="001E7CB9"/>
    <w:rsid w:val="002109FA"/>
    <w:rsid w:val="00323F78"/>
    <w:rsid w:val="0034236D"/>
    <w:rsid w:val="00352494"/>
    <w:rsid w:val="00363792"/>
    <w:rsid w:val="00365086"/>
    <w:rsid w:val="0056508A"/>
    <w:rsid w:val="006052E5"/>
    <w:rsid w:val="006332A2"/>
    <w:rsid w:val="006D7CC3"/>
    <w:rsid w:val="00722611"/>
    <w:rsid w:val="00767E48"/>
    <w:rsid w:val="00781667"/>
    <w:rsid w:val="00792AFE"/>
    <w:rsid w:val="007B32C2"/>
    <w:rsid w:val="00845657"/>
    <w:rsid w:val="008C0454"/>
    <w:rsid w:val="0099781E"/>
    <w:rsid w:val="009E0FA9"/>
    <w:rsid w:val="00A51FFC"/>
    <w:rsid w:val="00A81748"/>
    <w:rsid w:val="00B05415"/>
    <w:rsid w:val="00B13FB9"/>
    <w:rsid w:val="00B31434"/>
    <w:rsid w:val="00B73282"/>
    <w:rsid w:val="00BA0ADB"/>
    <w:rsid w:val="00CF056C"/>
    <w:rsid w:val="00D95F58"/>
    <w:rsid w:val="00DC00AC"/>
    <w:rsid w:val="00E10118"/>
    <w:rsid w:val="00E84030"/>
    <w:rsid w:val="00ED13D1"/>
    <w:rsid w:val="00F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uiPriority w:val="19"/>
    <w:qFormat/>
    <w:rsid w:val="00845657"/>
    <w:rPr>
      <w:i/>
      <w:iCs/>
      <w:color w:val="808080"/>
    </w:rPr>
  </w:style>
  <w:style w:type="character" w:styleId="Hypertextovodkaz">
    <w:name w:val="Hyperlink"/>
    <w:basedOn w:val="Standardnpsmoodstavce"/>
    <w:uiPriority w:val="99"/>
    <w:unhideWhenUsed/>
    <w:rsid w:val="00062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uiPriority w:val="19"/>
    <w:qFormat/>
    <w:rsid w:val="00845657"/>
    <w:rPr>
      <w:i/>
      <w:iCs/>
      <w:color w:val="808080"/>
    </w:rPr>
  </w:style>
  <w:style w:type="character" w:styleId="Hypertextovodkaz">
    <w:name w:val="Hyperlink"/>
    <w:basedOn w:val="Standardnpsmoodstavce"/>
    <w:uiPriority w:val="99"/>
    <w:unhideWhenUsed/>
    <w:rsid w:val="00062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zlin.cz/cz/program/prostor-zlin-2013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leriezlin.cz/cz/program/prostor-zlin-rady-videni.html" TargetMode="External"/><Relationship Id="rId12" Type="http://schemas.openxmlformats.org/officeDocument/2006/relationships/hyperlink" Target="http://www.galerie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zervace.14-15.cz" TargetMode="External"/><Relationship Id="rId11" Type="http://schemas.openxmlformats.org/officeDocument/2006/relationships/hyperlink" Target="mailto:info@galeriezli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leriezlin.cz/cz/program/ulmsky-model-metoda-a-desig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eriezlin.cz/cz/program/grafici-ceskeho-symbolism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Marika</dc:creator>
  <cp:lastModifiedBy>Blažková Marika</cp:lastModifiedBy>
  <cp:revision>29</cp:revision>
  <dcterms:created xsi:type="dcterms:W3CDTF">2013-05-06T09:47:00Z</dcterms:created>
  <dcterms:modified xsi:type="dcterms:W3CDTF">2013-05-06T12:07:00Z</dcterms:modified>
</cp:coreProperties>
</file>